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C1176D" w14:textId="77777777" w:rsidR="008B3009" w:rsidRPr="009853FD" w:rsidRDefault="008B3009" w:rsidP="008B3009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r w:rsidRPr="009853FD">
        <w:rPr>
          <w:rFonts w:ascii="Century Gothic" w:hAnsi="Century Gothic"/>
          <w:b/>
          <w:sz w:val="28"/>
          <w:szCs w:val="28"/>
          <w:u w:val="single"/>
        </w:rPr>
        <w:t>Devis : Finis et accessoires de persiennes</w:t>
      </w:r>
    </w:p>
    <w:p w14:paraId="44AC58C3" w14:textId="77777777" w:rsidR="008B3009" w:rsidRPr="009853FD" w:rsidRDefault="008B3009" w:rsidP="008B3009">
      <w:pPr>
        <w:jc w:val="both"/>
        <w:rPr>
          <w:rFonts w:ascii="Century Gothic" w:hAnsi="Century Gothic"/>
          <w:sz w:val="22"/>
          <w:szCs w:val="22"/>
        </w:rPr>
      </w:pPr>
    </w:p>
    <w:p w14:paraId="22D6091A" w14:textId="77777777" w:rsidR="008B3009" w:rsidRPr="00E56B99" w:rsidRDefault="008B3009" w:rsidP="008B3009">
      <w:pPr>
        <w:numPr>
          <w:ilvl w:val="0"/>
          <w:numId w:val="8"/>
        </w:numPr>
        <w:tabs>
          <w:tab w:val="left" w:pos="426"/>
        </w:tabs>
        <w:jc w:val="both"/>
        <w:rPr>
          <w:rFonts w:ascii="Century Gothic" w:hAnsi="Century Gothic"/>
          <w:b/>
          <w:sz w:val="20"/>
          <w:szCs w:val="20"/>
        </w:rPr>
      </w:pPr>
      <w:r w:rsidRPr="00E56B99">
        <w:rPr>
          <w:rFonts w:ascii="Century Gothic" w:hAnsi="Century Gothic"/>
          <w:b/>
          <w:sz w:val="20"/>
          <w:szCs w:val="20"/>
        </w:rPr>
        <w:t xml:space="preserve">Finis : </w:t>
      </w:r>
      <w:r w:rsidRPr="00E56B99">
        <w:rPr>
          <w:rFonts w:ascii="Century Gothic" w:hAnsi="Century Gothic"/>
          <w:sz w:val="20"/>
          <w:szCs w:val="20"/>
        </w:rPr>
        <w:t>Les</w:t>
      </w:r>
      <w:r w:rsidRPr="00E56B99">
        <w:rPr>
          <w:rFonts w:ascii="Century Gothic" w:hAnsi="Century Gothic"/>
          <w:b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parties apparentes seront</w:t>
      </w:r>
      <w:r w:rsidRPr="00E56B99">
        <w:rPr>
          <w:rFonts w:ascii="Century Gothic" w:hAnsi="Century Gothic"/>
          <w:i/>
          <w:sz w:val="20"/>
          <w:szCs w:val="20"/>
        </w:rPr>
        <w:t xml:space="preserve"> …</w:t>
      </w:r>
    </w:p>
    <w:p w14:paraId="0827FB99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r w:rsidRPr="00E56B99">
        <w:rPr>
          <w:rFonts w:ascii="Century Gothic" w:hAnsi="Century Gothic"/>
          <w:sz w:val="20"/>
          <w:szCs w:val="20"/>
          <w:u w:val="single"/>
        </w:rPr>
        <w:t>de fini naturel </w:t>
      </w:r>
    </w:p>
    <w:p w14:paraId="00EBC533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6FF8D3DF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i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recouvertes d'une peinture polyuréthane acrylique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37E50182" w14:textId="23F84F16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i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rencontrant la norme AAMA-2604, couleur au choix de l’architecte, </w:t>
      </w:r>
      <w:r w:rsidRPr="00E56B99">
        <w:rPr>
          <w:rFonts w:ascii="Century Gothic" w:hAnsi="Century Gothic"/>
          <w:i/>
          <w:sz w:val="20"/>
          <w:szCs w:val="20"/>
        </w:rPr>
        <w:t xml:space="preserve">ayant subies un pré traitement de conversion au phosphate de chrome, le tout offrant une garantie de </w:t>
      </w:r>
      <w:r w:rsidR="00E8513F">
        <w:rPr>
          <w:rFonts w:ascii="Century Gothic" w:hAnsi="Century Gothic"/>
          <w:i/>
          <w:sz w:val="20"/>
          <w:szCs w:val="20"/>
        </w:rPr>
        <w:t>10</w:t>
      </w:r>
      <w:r w:rsidRPr="00E56B99">
        <w:rPr>
          <w:rFonts w:ascii="Century Gothic" w:hAnsi="Century Gothic"/>
          <w:i/>
          <w:sz w:val="20"/>
          <w:szCs w:val="20"/>
        </w:rPr>
        <w:t xml:space="preserve"> ans.</w:t>
      </w:r>
    </w:p>
    <w:p w14:paraId="6777A207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738FE385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recouvertes d'une peinture Liquide Super Durable thermodurcissable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7218649E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rencontrant la norme AAMA-2604, couleur au choix de l’architecte, ayant subies un pré traitement de conversion au phosphate de chrome, le tout offrant une garantie de 10 ans.</w:t>
      </w:r>
    </w:p>
    <w:p w14:paraId="2CD8F29E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19E05C8F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 xml:space="preserve">recouvertes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4F4BA686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constitué de peinture fluorocarbonnée à résine inerte KYNAR  500 (70%) rencontrant la norme AAMA-2605, couleur au choix de l’architecte, le tout offrant une garantie de 20 ans.</w:t>
      </w:r>
    </w:p>
    <w:p w14:paraId="244054F3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5307A1D4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 xml:space="preserve">recouvertes d'un émail cuit au four </w:t>
      </w:r>
      <w:r w:rsidRPr="00E56B99">
        <w:rPr>
          <w:rFonts w:ascii="Century Gothic" w:hAnsi="Century Gothic"/>
          <w:i/>
          <w:sz w:val="20"/>
          <w:szCs w:val="20"/>
          <w:u w:val="single"/>
        </w:rPr>
        <w:t>Duranar XL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66D81AA7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constitué de peinture fluorocarbonnée à résine inerte KYNAR  500 (70%) et d’une couche de vernis </w:t>
      </w:r>
      <w:r w:rsidRPr="00E56B99">
        <w:rPr>
          <w:rFonts w:ascii="Century Gothic" w:hAnsi="Century Gothic"/>
          <w:i/>
          <w:sz w:val="20"/>
          <w:szCs w:val="20"/>
        </w:rPr>
        <w:t>XL,</w:t>
      </w:r>
      <w:r w:rsidRPr="00E56B99">
        <w:rPr>
          <w:rFonts w:ascii="Century Gothic" w:hAnsi="Century Gothic"/>
          <w:sz w:val="20"/>
          <w:szCs w:val="20"/>
        </w:rPr>
        <w:t xml:space="preserve"> rencontrant la norme AAMA-2605, couleur au choix de l’architecte, le tout offrant une garantie de 20 ans.</w:t>
      </w:r>
    </w:p>
    <w:p w14:paraId="0B83744E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4D117C92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  <w:u w:val="single"/>
        </w:rPr>
      </w:pPr>
      <w:r w:rsidRPr="00E56B99">
        <w:rPr>
          <w:rFonts w:ascii="Century Gothic" w:hAnsi="Century Gothic"/>
          <w:sz w:val="20"/>
          <w:szCs w:val="20"/>
          <w:u w:val="single"/>
        </w:rPr>
        <w:t>de fini Anodisé clair 10 microns :</w:t>
      </w:r>
    </w:p>
    <w:p w14:paraId="32E4DBA2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d’une épaisseur minimum de 0,4mils (10 microns) selon la norme AAM12C22A31.</w:t>
      </w:r>
      <w:bookmarkStart w:id="0" w:name="_Ref25592081"/>
      <w:r w:rsidRPr="00E56B99">
        <w:rPr>
          <w:rStyle w:val="Appelnotedebasdep"/>
          <w:rFonts w:ascii="Century Gothic" w:hAnsi="Century Gothic"/>
          <w:sz w:val="20"/>
          <w:szCs w:val="20"/>
        </w:rPr>
        <w:footnoteReference w:id="1"/>
      </w:r>
      <w:bookmarkEnd w:id="0"/>
      <w:r w:rsidRPr="00E56B99">
        <w:rPr>
          <w:rFonts w:ascii="Century Gothic" w:hAnsi="Century Gothic"/>
          <w:sz w:val="20"/>
          <w:szCs w:val="20"/>
        </w:rPr>
        <w:t xml:space="preserve">  </w:t>
      </w:r>
    </w:p>
    <w:p w14:paraId="10CAB397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4B58643F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de fini Anodisé clair 18 microns :</w:t>
      </w:r>
    </w:p>
    <w:p w14:paraId="190AAE2A" w14:textId="77777777" w:rsidR="008B3009" w:rsidRPr="00E56B9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d’une épaisseur minimum de 0,7mils (18 microns) selon la norme AAM12C22A41.</w:t>
      </w:r>
      <w:r w:rsidRPr="00E56B99">
        <w:rPr>
          <w:rFonts w:ascii="Century Gothic" w:hAnsi="Century Gothic" w:cs="GothicE"/>
          <w:sz w:val="20"/>
          <w:szCs w:val="20"/>
        </w:rPr>
        <w:fldChar w:fldCharType="begin"/>
      </w:r>
      <w:r w:rsidRPr="00E56B99">
        <w:rPr>
          <w:rFonts w:ascii="Century Gothic" w:hAnsi="Century Gothic" w:cs="GothicE"/>
          <w:sz w:val="20"/>
          <w:szCs w:val="20"/>
        </w:rPr>
        <w:instrText xml:space="preserve"> NOTEREF _Ref25592081 \f \h  \* MERGEFORMAT </w:instrText>
      </w:r>
      <w:r w:rsidRPr="00E56B99">
        <w:rPr>
          <w:rFonts w:ascii="Century Gothic" w:hAnsi="Century Gothic" w:cs="GothicE"/>
          <w:sz w:val="20"/>
          <w:szCs w:val="20"/>
        </w:rPr>
      </w:r>
      <w:r w:rsidRPr="00E56B99">
        <w:rPr>
          <w:rFonts w:ascii="Century Gothic" w:hAnsi="Century Gothic"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r w:rsidRPr="00E56B99">
        <w:rPr>
          <w:rFonts w:ascii="Century Gothic" w:hAnsi="Century Gothic" w:cs="GothicE"/>
          <w:sz w:val="20"/>
          <w:szCs w:val="20"/>
        </w:rPr>
        <w:fldChar w:fldCharType="end"/>
      </w:r>
    </w:p>
    <w:p w14:paraId="49C83C9A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21C9B464" w14:textId="77777777" w:rsidR="008B3009" w:rsidRPr="00E56B99" w:rsidRDefault="008B3009" w:rsidP="008B3009">
      <w:pPr>
        <w:numPr>
          <w:ilvl w:val="1"/>
          <w:numId w:val="8"/>
        </w:numPr>
        <w:tabs>
          <w:tab w:val="left" w:pos="426"/>
        </w:tabs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de fini Anodisé de couleur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521A2F01" w14:textId="77777777" w:rsidR="008B3009" w:rsidRDefault="008B3009" w:rsidP="008B3009">
      <w:pPr>
        <w:tabs>
          <w:tab w:val="left" w:pos="426"/>
        </w:tabs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d’une épaisseur minimum de 0,7mils (18 microns) selon la norme AAM12C22A44 dans la charte standard.</w:t>
      </w:r>
      <w:r w:rsidRPr="00E56B99">
        <w:rPr>
          <w:rStyle w:val="Appelnotedebasdep"/>
          <w:rFonts w:cs="GothicE"/>
          <w:sz w:val="20"/>
          <w:szCs w:val="20"/>
        </w:rPr>
        <w:fldChar w:fldCharType="begin"/>
      </w:r>
      <w:r w:rsidRPr="00E56B99">
        <w:rPr>
          <w:rStyle w:val="Appelnotedebasdep"/>
          <w:rFonts w:cs="GothicE"/>
          <w:sz w:val="20"/>
          <w:szCs w:val="20"/>
        </w:rPr>
        <w:instrText xml:space="preserve"> NOTEREF _Ref25592081 \f \h  \* MERGEFORMAT </w:instrText>
      </w:r>
      <w:r w:rsidRPr="00E56B99">
        <w:rPr>
          <w:rStyle w:val="Appelnotedebasdep"/>
          <w:rFonts w:cs="GothicE"/>
          <w:sz w:val="20"/>
          <w:szCs w:val="20"/>
        </w:rPr>
      </w:r>
      <w:r w:rsidRPr="00E56B99">
        <w:rPr>
          <w:rStyle w:val="Appelnotedebasdep"/>
          <w:rFonts w:cs="GothicE"/>
          <w:sz w:val="20"/>
          <w:szCs w:val="20"/>
        </w:rPr>
        <w:fldChar w:fldCharType="separate"/>
      </w:r>
      <w:r w:rsidRPr="00E56B99">
        <w:rPr>
          <w:rStyle w:val="Appelnotedebasdep"/>
          <w:rFonts w:ascii="Century Gothic" w:hAnsi="Century Gothic" w:cs="GothicE"/>
          <w:sz w:val="20"/>
          <w:szCs w:val="20"/>
        </w:rPr>
        <w:t>1</w:t>
      </w:r>
      <w:r w:rsidRPr="00E56B99">
        <w:rPr>
          <w:rStyle w:val="Appelnotedebasdep"/>
          <w:rFonts w:cs="GothicE"/>
          <w:sz w:val="20"/>
          <w:szCs w:val="20"/>
        </w:rPr>
        <w:fldChar w:fldCharType="end"/>
      </w:r>
      <w:r w:rsidRPr="00E56B99">
        <w:rPr>
          <w:rStyle w:val="Appelnotedebasdep"/>
          <w:rFonts w:cs="GothicE"/>
          <w:sz w:val="20"/>
          <w:szCs w:val="20"/>
        </w:rPr>
        <w:t xml:space="preserve"> </w:t>
      </w:r>
    </w:p>
    <w:p w14:paraId="518A0890" w14:textId="37158E04" w:rsidR="008B300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50F5FA75" w14:textId="77777777" w:rsidR="008B3009" w:rsidRPr="00E56B9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377755ED" w14:textId="6C01C9D5" w:rsidR="008B3009" w:rsidRPr="00E56B99" w:rsidRDefault="008B3009" w:rsidP="008B3009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Grillage (persienne active)</w:t>
      </w:r>
      <w:r w:rsidR="00F02726">
        <w:rPr>
          <w:rFonts w:ascii="Century Gothic" w:hAnsi="Century Gothic"/>
          <w:b/>
          <w:bCs/>
          <w:sz w:val="20"/>
          <w:szCs w:val="20"/>
        </w:rPr>
        <w:t xml:space="preserve"> : </w:t>
      </w:r>
      <w:r w:rsidRPr="00E56B9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02726">
        <w:rPr>
          <w:rFonts w:ascii="Century Gothic" w:hAnsi="Century Gothic"/>
          <w:sz w:val="20"/>
          <w:szCs w:val="20"/>
        </w:rPr>
        <w:t xml:space="preserve">les persiennes seront recouvertes, à leur face intérieure, de : </w:t>
      </w:r>
    </w:p>
    <w:p w14:paraId="7828483A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Grillage en acier galvanisé</w:t>
      </w:r>
      <w:r w:rsidRPr="00E56B99">
        <w:rPr>
          <w:rFonts w:ascii="Century Gothic" w:hAnsi="Century Gothic"/>
          <w:sz w:val="20"/>
          <w:szCs w:val="20"/>
        </w:rPr>
        <w:t> :</w:t>
      </w:r>
    </w:p>
    <w:p w14:paraId="3C67BED3" w14:textId="69D77810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à mailles de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(0,5” x 0,5”) et calibre de </w:t>
      </w:r>
      <w:smartTag w:uri="urn:schemas-microsoft-com:office:smarttags" w:element="metricconverter">
        <w:smartTagPr>
          <w:attr w:name="ProductID" w:val="0,81 mm"/>
        </w:smartTagPr>
        <w:r w:rsidRPr="00E56B99">
          <w:rPr>
            <w:rFonts w:ascii="Century Gothic" w:hAnsi="Century Gothic"/>
            <w:sz w:val="20"/>
            <w:szCs w:val="20"/>
          </w:rPr>
          <w:t>0,81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(0,032”)</w:t>
      </w:r>
    </w:p>
    <w:p w14:paraId="731071E7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58EE8F2C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Grillage en acier inoxydable :</w:t>
      </w:r>
    </w:p>
    <w:p w14:paraId="52F76652" w14:textId="7DBB952E" w:rsidR="008B3009" w:rsidRPr="006451FA" w:rsidRDefault="008B3009" w:rsidP="008B3009">
      <w:pPr>
        <w:ind w:left="1224"/>
        <w:jc w:val="both"/>
        <w:rPr>
          <w:rFonts w:ascii="Century Gothic" w:hAnsi="Century Gothic"/>
          <w:color w:val="FF0000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à mailles de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(0,5” x 0,5”) et calibre de </w:t>
      </w:r>
      <w:r w:rsidR="00D113ED" w:rsidRPr="00D113ED">
        <w:rPr>
          <w:rFonts w:ascii="Century Gothic" w:hAnsi="Century Gothic"/>
          <w:sz w:val="20"/>
          <w:szCs w:val="20"/>
        </w:rPr>
        <w:t>1,19</w:t>
      </w:r>
      <w:r w:rsidRPr="00D113ED">
        <w:rPr>
          <w:rFonts w:ascii="Century Gothic" w:hAnsi="Century Gothic"/>
          <w:sz w:val="20"/>
          <w:szCs w:val="20"/>
        </w:rPr>
        <w:t xml:space="preserve"> mm (0,0</w:t>
      </w:r>
      <w:r w:rsidR="00D113ED" w:rsidRPr="00D113ED">
        <w:rPr>
          <w:rFonts w:ascii="Century Gothic" w:hAnsi="Century Gothic"/>
          <w:sz w:val="20"/>
          <w:szCs w:val="20"/>
        </w:rPr>
        <w:t>47</w:t>
      </w:r>
      <w:r w:rsidRPr="00D113ED">
        <w:rPr>
          <w:rFonts w:ascii="Century Gothic" w:hAnsi="Century Gothic"/>
          <w:sz w:val="20"/>
          <w:szCs w:val="20"/>
        </w:rPr>
        <w:t>”)</w:t>
      </w:r>
    </w:p>
    <w:p w14:paraId="781D41BC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156FC35C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Grillage en aluminium déployé :</w:t>
      </w:r>
    </w:p>
    <w:p w14:paraId="7BA64FD9" w14:textId="6D0D8274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à motifs de </w:t>
      </w:r>
      <w:smartTag w:uri="urn:schemas-microsoft-com:office:smarttags" w:element="metricconverter">
        <w:smartTagPr>
          <w:attr w:name="ProductID" w:val="15 mm"/>
        </w:smartTagPr>
        <w:r w:rsidRPr="00E56B99">
          <w:rPr>
            <w:rFonts w:ascii="Century Gothic" w:hAnsi="Century Gothic"/>
            <w:sz w:val="20"/>
            <w:szCs w:val="20"/>
          </w:rPr>
          <w:t>15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30,5 mm"/>
        </w:smartTagPr>
        <w:r w:rsidRPr="00E56B99">
          <w:rPr>
            <w:rFonts w:ascii="Century Gothic" w:hAnsi="Century Gothic"/>
            <w:sz w:val="20"/>
            <w:szCs w:val="20"/>
          </w:rPr>
          <w:t>30,5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(0,59” x 1,20”) et lanières de</w:t>
      </w:r>
      <w:r>
        <w:rPr>
          <w:rFonts w:ascii="Century Gothic" w:hAnsi="Century Gothic"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1,27 x 1</w:t>
      </w:r>
      <w:r w:rsidR="00D113ED">
        <w:rPr>
          <w:rFonts w:ascii="Century Gothic" w:hAnsi="Century Gothic"/>
          <w:sz w:val="20"/>
          <w:szCs w:val="20"/>
        </w:rPr>
        <w:t>,</w:t>
      </w:r>
      <w:r w:rsidRPr="00E56B99">
        <w:rPr>
          <w:rFonts w:ascii="Century Gothic" w:hAnsi="Century Gothic"/>
          <w:sz w:val="20"/>
          <w:szCs w:val="20"/>
        </w:rPr>
        <w:t>14 mm d’épais (0,05” x 0,045” d’épaisseur).</w:t>
      </w:r>
    </w:p>
    <w:p w14:paraId="36523736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lastRenderedPageBreak/>
        <w:t>OU</w:t>
      </w:r>
    </w:p>
    <w:p w14:paraId="0B1CE45E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 xml:space="preserve">Grillage en aluminium tissé : </w:t>
      </w:r>
    </w:p>
    <w:p w14:paraId="6E71A424" w14:textId="4ADD9368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à mailles de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x </w:t>
      </w:r>
      <w:smartTag w:uri="urn:schemas-microsoft-com:office:smarttags" w:element="metricconverter">
        <w:smartTagPr>
          <w:attr w:name="ProductID" w:val="12 mm"/>
        </w:smartTagPr>
        <w:r w:rsidRPr="00E56B99">
          <w:rPr>
            <w:rFonts w:ascii="Century Gothic" w:hAnsi="Century Gothic"/>
            <w:sz w:val="20"/>
            <w:szCs w:val="20"/>
          </w:rPr>
          <w:t>12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(0,5” x 0,5”) et calibre de</w:t>
      </w:r>
      <w:r>
        <w:rPr>
          <w:rFonts w:ascii="Century Gothic" w:hAnsi="Century Gothic"/>
          <w:sz w:val="20"/>
          <w:szCs w:val="20"/>
        </w:rPr>
        <w:t xml:space="preserve"> </w:t>
      </w:r>
      <w:r w:rsidRPr="00D113ED">
        <w:rPr>
          <w:rFonts w:ascii="Century Gothic" w:hAnsi="Century Gothic"/>
          <w:sz w:val="20"/>
          <w:szCs w:val="20"/>
        </w:rPr>
        <w:t>1,</w:t>
      </w:r>
      <w:r w:rsidR="00D113ED" w:rsidRPr="00D113ED">
        <w:rPr>
          <w:rFonts w:ascii="Century Gothic" w:hAnsi="Century Gothic"/>
          <w:sz w:val="20"/>
          <w:szCs w:val="20"/>
        </w:rPr>
        <w:t>27</w:t>
      </w:r>
      <w:r w:rsidRPr="00D113ED">
        <w:rPr>
          <w:rFonts w:ascii="Century Gothic" w:hAnsi="Century Gothic"/>
          <w:sz w:val="20"/>
          <w:szCs w:val="20"/>
        </w:rPr>
        <w:t xml:space="preserve"> mm (0,0</w:t>
      </w:r>
      <w:r w:rsidR="00D113ED" w:rsidRPr="00D113ED">
        <w:rPr>
          <w:rFonts w:ascii="Century Gothic" w:hAnsi="Century Gothic"/>
          <w:sz w:val="20"/>
          <w:szCs w:val="20"/>
        </w:rPr>
        <w:t>50</w:t>
      </w:r>
      <w:r w:rsidRPr="00D113ED">
        <w:rPr>
          <w:rFonts w:ascii="Century Gothic" w:hAnsi="Century Gothic"/>
          <w:sz w:val="20"/>
          <w:szCs w:val="20"/>
        </w:rPr>
        <w:t>”).</w:t>
      </w:r>
    </w:p>
    <w:p w14:paraId="18B2E98C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22B66C10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Moustiquaire en aluminium tissé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4B5C713C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à mailles de 7,1 x 6,3/cm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r w:rsidRPr="00E56B99">
        <w:rPr>
          <w:rFonts w:ascii="Century Gothic" w:hAnsi="Century Gothic"/>
          <w:sz w:val="20"/>
          <w:szCs w:val="20"/>
        </w:rPr>
        <w:t xml:space="preserve"> (18 x 16/po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r w:rsidRPr="00E56B99">
        <w:rPr>
          <w:rFonts w:ascii="Century Gothic" w:hAnsi="Century Gothic"/>
          <w:sz w:val="20"/>
          <w:szCs w:val="20"/>
        </w:rPr>
        <w:t xml:space="preserve">) et calibre de </w:t>
      </w:r>
      <w:smartTag w:uri="urn:schemas-microsoft-com:office:smarttags" w:element="metricconverter">
        <w:smartTagPr>
          <w:attr w:name="ProductID" w:val="0,30 mm"/>
        </w:smartTagPr>
        <w:r w:rsidRPr="00E56B99">
          <w:rPr>
            <w:rFonts w:ascii="Century Gothic" w:hAnsi="Century Gothic"/>
            <w:sz w:val="20"/>
            <w:szCs w:val="20"/>
          </w:rPr>
          <w:t>0,30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(0,012”).</w:t>
      </w:r>
    </w:p>
    <w:p w14:paraId="3470F951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6D196F31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Moustiquaire en fibre de verre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03CB91AE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à mailles de 7,1 x 6,3/cm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r w:rsidRPr="00E56B99">
        <w:rPr>
          <w:rFonts w:ascii="Century Gothic" w:hAnsi="Century Gothic"/>
          <w:sz w:val="20"/>
          <w:szCs w:val="20"/>
        </w:rPr>
        <w:t xml:space="preserve"> (18 x 16/po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r w:rsidRPr="00E56B99">
        <w:rPr>
          <w:rFonts w:ascii="Century Gothic" w:hAnsi="Century Gothic"/>
          <w:sz w:val="20"/>
          <w:szCs w:val="20"/>
        </w:rPr>
        <w:t xml:space="preserve">) et calibre de </w:t>
      </w:r>
      <w:smartTag w:uri="urn:schemas-microsoft-com:office:smarttags" w:element="metricconverter">
        <w:smartTagPr>
          <w:attr w:name="ProductID" w:val="0,30 mm"/>
        </w:smartTagPr>
        <w:r w:rsidRPr="00E56B99">
          <w:rPr>
            <w:rFonts w:ascii="Century Gothic" w:hAnsi="Century Gothic"/>
            <w:sz w:val="20"/>
            <w:szCs w:val="20"/>
          </w:rPr>
          <w:t>0,30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(0,012”).</w:t>
      </w:r>
    </w:p>
    <w:p w14:paraId="33A082D3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2FC79E7D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Moustiquaire en nylon</w:t>
      </w:r>
      <w:bookmarkStart w:id="1" w:name="_Hlk24710996"/>
      <w:r w:rsidRPr="00E56B99">
        <w:rPr>
          <w:rFonts w:ascii="Century Gothic" w:hAnsi="Century Gothic"/>
          <w:sz w:val="20"/>
          <w:szCs w:val="20"/>
          <w:u w:val="single"/>
        </w:rPr>
        <w:t> :</w:t>
      </w:r>
      <w:bookmarkEnd w:id="1"/>
    </w:p>
    <w:p w14:paraId="1817DFFA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>à mailles de 7,1 x 6,3/cm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r w:rsidRPr="00E56B99">
        <w:rPr>
          <w:rFonts w:ascii="Century Gothic" w:hAnsi="Century Gothic"/>
          <w:sz w:val="20"/>
          <w:szCs w:val="20"/>
        </w:rPr>
        <w:t xml:space="preserve"> (18 x 16/po</w:t>
      </w:r>
      <w:r w:rsidRPr="00E56B99">
        <w:rPr>
          <w:rFonts w:ascii="Century Gothic" w:hAnsi="Century Gothic"/>
          <w:sz w:val="20"/>
          <w:szCs w:val="20"/>
          <w:vertAlign w:val="superscript"/>
        </w:rPr>
        <w:t>2</w:t>
      </w:r>
      <w:r w:rsidRPr="00E56B99">
        <w:rPr>
          <w:rFonts w:ascii="Century Gothic" w:hAnsi="Century Gothic"/>
          <w:sz w:val="20"/>
          <w:szCs w:val="20"/>
        </w:rPr>
        <w:t xml:space="preserve">) et calibre de </w:t>
      </w:r>
      <w:smartTag w:uri="urn:schemas-microsoft-com:office:smarttags" w:element="metricconverter">
        <w:smartTagPr>
          <w:attr w:name="ProductID" w:val="0,30 mm"/>
        </w:smartTagPr>
        <w:r w:rsidRPr="00E56B99">
          <w:rPr>
            <w:rFonts w:ascii="Century Gothic" w:hAnsi="Century Gothic"/>
            <w:sz w:val="20"/>
            <w:szCs w:val="20"/>
          </w:rPr>
          <w:t>0,30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(0,012”).</w:t>
      </w:r>
    </w:p>
    <w:p w14:paraId="66F846FF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AVEC OU SANS</w:t>
      </w:r>
    </w:p>
    <w:p w14:paraId="5DC881EC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Encadrement à grillage/moustiquaire :</w:t>
      </w:r>
      <w:r w:rsidRPr="00E56B99">
        <w:rPr>
          <w:rFonts w:ascii="Century Gothic" w:hAnsi="Century Gothic"/>
          <w:sz w:val="20"/>
          <w:szCs w:val="20"/>
        </w:rPr>
        <w:t xml:space="preserve"> </w:t>
      </w:r>
    </w:p>
    <w:p w14:paraId="702D1A0A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en aluminium extrudé </w:t>
      </w:r>
      <w:smartTag w:uri="urn:schemas-microsoft-com:office:smarttags" w:element="metricconverter">
        <w:smartTagPr>
          <w:attr w:name="ProductID" w:val="1,6 mm"/>
        </w:smartTagPr>
        <w:r w:rsidRPr="00E56B99">
          <w:rPr>
            <w:rFonts w:ascii="Century Gothic" w:hAnsi="Century Gothic"/>
            <w:sz w:val="20"/>
            <w:szCs w:val="20"/>
          </w:rPr>
          <w:t>1,6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(0.064”) d’épaisseur installé sur la face intérieure de la persienne.</w:t>
      </w:r>
    </w:p>
    <w:p w14:paraId="0D4CF3A3" w14:textId="07962D87" w:rsidR="008B300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275D5169" w14:textId="77777777" w:rsidR="008B3009" w:rsidRPr="00E56B9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5C2B6D62" w14:textId="280FFB76" w:rsidR="008B3009" w:rsidRPr="00E56B99" w:rsidRDefault="008B3009" w:rsidP="008B3009">
      <w:pPr>
        <w:numPr>
          <w:ilvl w:val="0"/>
          <w:numId w:val="8"/>
        </w:numPr>
        <w:spacing w:after="120"/>
        <w:jc w:val="both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Obturateur (persienne non active)</w:t>
      </w:r>
      <w:r w:rsidR="00F02726">
        <w:rPr>
          <w:rFonts w:ascii="Century Gothic" w:hAnsi="Century Gothic"/>
          <w:b/>
          <w:bCs/>
          <w:sz w:val="20"/>
          <w:szCs w:val="20"/>
        </w:rPr>
        <w:t> :</w:t>
      </w:r>
      <w:r w:rsidRPr="00E56B9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F02726">
        <w:rPr>
          <w:rFonts w:ascii="Century Gothic" w:hAnsi="Century Gothic"/>
          <w:sz w:val="20"/>
          <w:szCs w:val="20"/>
        </w:rPr>
        <w:t>les persiennes seront recouvertes, à leur face intérieure, de :</w:t>
      </w:r>
    </w:p>
    <w:p w14:paraId="09103926" w14:textId="32AB8CA6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  <w:u w:val="single"/>
        </w:rPr>
        <w:t>Panneau obturateur non isolé composé d</w:t>
      </w:r>
      <w:r w:rsidR="00D113ED">
        <w:rPr>
          <w:rFonts w:ascii="Century Gothic" w:hAnsi="Century Gothic"/>
          <w:sz w:val="20"/>
          <w:szCs w:val="20"/>
          <w:u w:val="single"/>
        </w:rPr>
        <w:t>e</w:t>
      </w:r>
      <w:r w:rsidRPr="00E56B99">
        <w:rPr>
          <w:rFonts w:ascii="Century Gothic" w:hAnsi="Century Gothic"/>
          <w:sz w:val="20"/>
          <w:szCs w:val="20"/>
          <w:u w:val="single"/>
        </w:rPr>
        <w:t> :</w:t>
      </w:r>
    </w:p>
    <w:p w14:paraId="4E6D1389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sz w:val="20"/>
          <w:szCs w:val="20"/>
        </w:rPr>
        <w:t xml:space="preserve">Une tôle d’aluminium </w:t>
      </w:r>
      <w:smartTag w:uri="urn:schemas-microsoft-com:office:smarttags" w:element="metricconverter">
        <w:smartTagPr>
          <w:attr w:name="ProductID" w:val="0,8 mm"/>
        </w:smartTagPr>
        <w:r w:rsidRPr="00E56B99">
          <w:rPr>
            <w:rFonts w:ascii="Century Gothic" w:hAnsi="Century Gothic"/>
            <w:sz w:val="20"/>
            <w:szCs w:val="20"/>
          </w:rPr>
          <w:t>0,8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(0,032”)</w:t>
      </w:r>
      <w:r w:rsidRPr="00E56B99"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E56B99">
        <w:rPr>
          <w:rFonts w:ascii="Century Gothic" w:hAnsi="Century Gothic"/>
          <w:sz w:val="20"/>
          <w:szCs w:val="20"/>
        </w:rPr>
        <w:t>fini côté apparent seulement.</w:t>
      </w:r>
    </w:p>
    <w:p w14:paraId="49935978" w14:textId="77777777" w:rsidR="008B3009" w:rsidRPr="00E56B99" w:rsidRDefault="008B3009" w:rsidP="008B3009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34DC1D3F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bookmarkStart w:id="2" w:name="_Hlk24710005"/>
      <w:r w:rsidRPr="00E56B99">
        <w:rPr>
          <w:rFonts w:ascii="Century Gothic" w:hAnsi="Century Gothic"/>
          <w:sz w:val="20"/>
          <w:szCs w:val="20"/>
          <w:u w:val="single"/>
        </w:rPr>
        <w:t>Panneau obturateur isolé offrant un facteur d’efficacité R8 composé de :</w:t>
      </w:r>
    </w:p>
    <w:p w14:paraId="2AC32C20" w14:textId="197D93AC" w:rsidR="008B3009" w:rsidRDefault="00D113ED" w:rsidP="00D113ED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r w:rsidRPr="00E56B99">
        <w:rPr>
          <w:rFonts w:ascii="Century Gothic" w:hAnsi="Century Gothic"/>
          <w:sz w:val="20"/>
          <w:szCs w:val="20"/>
        </w:rPr>
        <w:t>Laine</w:t>
      </w:r>
      <w:r w:rsidR="008B3009" w:rsidRPr="00E56B99">
        <w:rPr>
          <w:rFonts w:ascii="Century Gothic" w:hAnsi="Century Gothic"/>
          <w:sz w:val="20"/>
          <w:szCs w:val="20"/>
        </w:rPr>
        <w:t xml:space="preserve"> semi-rigide CURTAINROCK</w:t>
      </w:r>
      <w:r>
        <w:rPr>
          <w:rFonts w:ascii="Century Gothic" w:hAnsi="Century Gothic"/>
          <w:sz w:val="20"/>
          <w:szCs w:val="20"/>
        </w:rPr>
        <w:t xml:space="preserve"> 51 mm entre deux tôles </w:t>
      </w:r>
      <w:r w:rsidRPr="00E56B99">
        <w:rPr>
          <w:rFonts w:ascii="Century Gothic" w:hAnsi="Century Gothic"/>
          <w:sz w:val="20"/>
          <w:szCs w:val="20"/>
        </w:rPr>
        <w:t xml:space="preserve">d’aluminium </w:t>
      </w:r>
      <w:smartTag w:uri="urn:schemas-microsoft-com:office:smarttags" w:element="metricconverter">
        <w:smartTagPr>
          <w:attr w:name="ProductID" w:val="0,8 mm"/>
        </w:smartTagPr>
        <w:r w:rsidRPr="00E56B99">
          <w:rPr>
            <w:rFonts w:ascii="Century Gothic" w:hAnsi="Century Gothic"/>
            <w:sz w:val="20"/>
            <w:szCs w:val="20"/>
          </w:rPr>
          <w:t>0,8 mm</w:t>
        </w:r>
      </w:smartTag>
      <w:r w:rsidRPr="00E56B99">
        <w:rPr>
          <w:rFonts w:ascii="Century Gothic" w:hAnsi="Century Gothic"/>
          <w:sz w:val="20"/>
          <w:szCs w:val="20"/>
        </w:rPr>
        <w:t xml:space="preserve"> (0,032”</w:t>
      </w:r>
      <w:r>
        <w:rPr>
          <w:rFonts w:ascii="Century Gothic" w:hAnsi="Century Gothic"/>
          <w:sz w:val="20"/>
          <w:szCs w:val="20"/>
        </w:rPr>
        <w:t>).  Le panneau obturateur sera fini du côté apparent seulement.</w:t>
      </w:r>
      <w:bookmarkEnd w:id="2"/>
    </w:p>
    <w:p w14:paraId="5064D3EA" w14:textId="77777777" w:rsidR="00D113ED" w:rsidRPr="00D113ED" w:rsidRDefault="00D113ED" w:rsidP="00D113ED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</w:p>
    <w:p w14:paraId="6D687EDD" w14:textId="77777777" w:rsidR="008B3009" w:rsidRPr="00E56B99" w:rsidRDefault="008B3009" w:rsidP="008B3009">
      <w:pPr>
        <w:ind w:left="1224"/>
        <w:jc w:val="both"/>
        <w:rPr>
          <w:rFonts w:ascii="Century Gothic" w:hAnsi="Century Gothic"/>
          <w:sz w:val="20"/>
          <w:szCs w:val="20"/>
        </w:rPr>
      </w:pPr>
    </w:p>
    <w:p w14:paraId="1C80921B" w14:textId="77777777" w:rsidR="008B3009" w:rsidRPr="00E56B99" w:rsidRDefault="008B3009" w:rsidP="008B3009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b/>
          <w:sz w:val="20"/>
          <w:szCs w:val="20"/>
        </w:rPr>
        <w:t>Méthode de fixation Spéciale Exécution Par l’Extérieure (SEPE):</w:t>
      </w:r>
    </w:p>
    <w:p w14:paraId="0B71DE6B" w14:textId="77777777" w:rsidR="008B3009" w:rsidRPr="00E56B99" w:rsidRDefault="008B3009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E56B99">
        <w:rPr>
          <w:rFonts w:ascii="Century Gothic" w:hAnsi="Century Gothic"/>
          <w:bCs/>
          <w:sz w:val="20"/>
          <w:szCs w:val="20"/>
        </w:rPr>
        <w:t xml:space="preserve">Afin de permettre l'installation des persiennes par l'extérieur du bâtiment, les persiennes devront être divisées en sections et être pourvues du système de fixation </w:t>
      </w:r>
      <w:r w:rsidRPr="00E56B99">
        <w:rPr>
          <w:rFonts w:ascii="Century Gothic" w:hAnsi="Century Gothic"/>
          <w:b/>
          <w:i/>
          <w:iCs/>
          <w:sz w:val="20"/>
          <w:szCs w:val="20"/>
        </w:rPr>
        <w:t xml:space="preserve">Cométal-SEPE-A </w:t>
      </w:r>
      <w:r w:rsidRPr="00E56B99">
        <w:rPr>
          <w:rFonts w:ascii="Century Gothic" w:hAnsi="Century Gothic"/>
          <w:iCs/>
          <w:sz w:val="20"/>
          <w:szCs w:val="20"/>
        </w:rPr>
        <w:t>ou</w:t>
      </w:r>
      <w:r w:rsidRPr="00E56B99">
        <w:rPr>
          <w:rFonts w:ascii="Century Gothic" w:hAnsi="Century Gothic"/>
          <w:b/>
          <w:i/>
          <w:iCs/>
          <w:sz w:val="20"/>
          <w:szCs w:val="20"/>
        </w:rPr>
        <w:t xml:space="preserve"> Cométal-SEPE-B </w:t>
      </w:r>
      <w:r w:rsidRPr="00E56B99">
        <w:rPr>
          <w:rFonts w:ascii="Century Gothic" w:hAnsi="Century Gothic"/>
          <w:iCs/>
          <w:sz w:val="20"/>
          <w:szCs w:val="20"/>
        </w:rPr>
        <w:t>ou</w:t>
      </w:r>
      <w:r w:rsidRPr="00E56B99">
        <w:rPr>
          <w:rFonts w:ascii="Century Gothic" w:hAnsi="Century Gothic"/>
          <w:b/>
          <w:i/>
          <w:iCs/>
          <w:sz w:val="20"/>
          <w:szCs w:val="20"/>
        </w:rPr>
        <w:t xml:space="preserve"> Cométal-SEPE-C</w:t>
      </w:r>
      <w:r w:rsidRPr="00E56B99">
        <w:rPr>
          <w:rFonts w:ascii="Century Gothic" w:hAnsi="Century Gothic"/>
          <w:bCs/>
          <w:sz w:val="20"/>
          <w:szCs w:val="20"/>
        </w:rPr>
        <w:t>.  Les sections seront divisées tel que recommandé par Cométal. Ce système devra être conçu et certifié par un ingénieur membre en règle de l’Ordre des ingénieurs du Québec.</w:t>
      </w:r>
    </w:p>
    <w:p w14:paraId="2A6E62B9" w14:textId="201CD849" w:rsidR="008B3009" w:rsidRDefault="008B3009" w:rsidP="008B3009">
      <w:pPr>
        <w:jc w:val="both"/>
        <w:rPr>
          <w:rFonts w:ascii="Century Gothic" w:hAnsi="Century Gothic"/>
          <w:sz w:val="20"/>
          <w:szCs w:val="20"/>
        </w:rPr>
      </w:pPr>
    </w:p>
    <w:p w14:paraId="0DA22A76" w14:textId="77777777" w:rsidR="00C829A8" w:rsidRDefault="00C829A8" w:rsidP="008B3009">
      <w:pPr>
        <w:jc w:val="both"/>
        <w:rPr>
          <w:rFonts w:ascii="Century Gothic" w:hAnsi="Century Gothic"/>
          <w:sz w:val="20"/>
          <w:szCs w:val="20"/>
        </w:rPr>
      </w:pPr>
    </w:p>
    <w:p w14:paraId="3913E016" w14:textId="50351879" w:rsidR="00A26A6F" w:rsidRPr="00E56B99" w:rsidRDefault="00A26A6F" w:rsidP="00A26A6F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Porte-persienne</w:t>
      </w:r>
    </w:p>
    <w:p w14:paraId="4BAFCDFA" w14:textId="77777777" w:rsidR="00C829A8" w:rsidRPr="00C829A8" w:rsidRDefault="00C829A8" w:rsidP="00C829A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 w:rsidRPr="00C829A8">
        <w:rPr>
          <w:rFonts w:ascii="Century Gothic" w:hAnsi="Century Gothic"/>
          <w:sz w:val="20"/>
          <w:szCs w:val="20"/>
          <w:u w:val="single"/>
        </w:rPr>
        <w:t xml:space="preserve">Avec cadre  </w:t>
      </w:r>
    </w:p>
    <w:p w14:paraId="3A1E9FFD" w14:textId="7A3F8009" w:rsidR="00C829A8" w:rsidRDefault="00C829A8" w:rsidP="00D113ED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C829A8">
        <w:rPr>
          <w:rFonts w:ascii="Century Gothic" w:hAnsi="Century Gothic"/>
          <w:sz w:val="20"/>
          <w:szCs w:val="20"/>
        </w:rPr>
        <w:t xml:space="preserve">Une porte-persienne à battant (simple ou double) sera fournie avec un cadre de porte en aluminium extrudé de </w:t>
      </w:r>
      <w:r w:rsidR="007A213C" w:rsidRPr="00050AB3">
        <w:rPr>
          <w:rFonts w:ascii="Century Gothic" w:hAnsi="Century Gothic"/>
          <w:bCs/>
          <w:sz w:val="20"/>
          <w:szCs w:val="20"/>
        </w:rPr>
        <w:t>"Cométal"</w:t>
      </w:r>
      <w:r w:rsidRPr="00C829A8">
        <w:rPr>
          <w:rFonts w:ascii="Century Gothic" w:hAnsi="Century Gothic"/>
          <w:sz w:val="20"/>
          <w:szCs w:val="20"/>
        </w:rPr>
        <w:t>.  Elle sera munie d'une poignée extérieure, de charnières en acier inoxydable et d'une barrure cadenassable.</w:t>
      </w:r>
    </w:p>
    <w:p w14:paraId="61932119" w14:textId="77777777" w:rsidR="00C829A8" w:rsidRPr="00E56B99" w:rsidRDefault="00C829A8" w:rsidP="00C829A8">
      <w:pPr>
        <w:ind w:left="792"/>
        <w:jc w:val="both"/>
        <w:rPr>
          <w:rFonts w:ascii="Century Gothic" w:hAnsi="Century Gothic"/>
          <w:sz w:val="20"/>
          <w:szCs w:val="20"/>
        </w:rPr>
      </w:pPr>
    </w:p>
    <w:p w14:paraId="30B44F9F" w14:textId="66C14910" w:rsidR="00C829A8" w:rsidRPr="00C829A8" w:rsidRDefault="00C829A8" w:rsidP="00C829A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Dissimulée</w:t>
      </w:r>
    </w:p>
    <w:p w14:paraId="105F481A" w14:textId="19356695" w:rsidR="00C829A8" w:rsidRPr="00C829A8" w:rsidRDefault="00C829A8" w:rsidP="00C829A8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C829A8">
        <w:rPr>
          <w:rFonts w:ascii="Century Gothic" w:hAnsi="Century Gothic"/>
          <w:sz w:val="20"/>
          <w:szCs w:val="20"/>
        </w:rPr>
        <w:t xml:space="preserve">Une porte-persienne à battant (simple ou double) sera fournie </w:t>
      </w:r>
      <w:r>
        <w:rPr>
          <w:rFonts w:ascii="Century Gothic" w:hAnsi="Century Gothic"/>
          <w:sz w:val="20"/>
          <w:szCs w:val="20"/>
        </w:rPr>
        <w:t>sans cadre de porte pour un effet à lame continue</w:t>
      </w:r>
      <w:r w:rsidRPr="00C829A8">
        <w:rPr>
          <w:rFonts w:ascii="Century Gothic" w:hAnsi="Century Gothic"/>
          <w:sz w:val="20"/>
          <w:szCs w:val="20"/>
        </w:rPr>
        <w:t xml:space="preserve">.  Elle sera munie d'une poignée extérieure, de charnières en </w:t>
      </w:r>
      <w:r w:rsidR="00D67741">
        <w:rPr>
          <w:rFonts w:ascii="Century Gothic" w:hAnsi="Century Gothic"/>
          <w:sz w:val="20"/>
          <w:szCs w:val="20"/>
        </w:rPr>
        <w:t>aluminium</w:t>
      </w:r>
      <w:r w:rsidRPr="00C829A8">
        <w:rPr>
          <w:rFonts w:ascii="Century Gothic" w:hAnsi="Century Gothic"/>
          <w:sz w:val="20"/>
          <w:szCs w:val="20"/>
        </w:rPr>
        <w:t xml:space="preserve"> et d'une barrure cadenassable.</w:t>
      </w:r>
    </w:p>
    <w:p w14:paraId="67CE215B" w14:textId="77777777" w:rsidR="008B3009" w:rsidRPr="00E56B99" w:rsidRDefault="008B3009" w:rsidP="008B3009">
      <w:pPr>
        <w:jc w:val="both"/>
        <w:rPr>
          <w:rFonts w:ascii="Century Gothic" w:hAnsi="Century Gothic"/>
          <w:sz w:val="20"/>
          <w:szCs w:val="20"/>
          <w:u w:val="single"/>
        </w:rPr>
      </w:pPr>
    </w:p>
    <w:p w14:paraId="2F2F1A3B" w14:textId="6187CC3B" w:rsidR="00A26A6F" w:rsidRPr="00D67741" w:rsidRDefault="00D67741" w:rsidP="008B3009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  <w:u w:val="single"/>
        </w:rPr>
        <w:t>Chambre annexe Hydro-Québec</w:t>
      </w:r>
    </w:p>
    <w:p w14:paraId="2995187D" w14:textId="117A0387" w:rsidR="00D67741" w:rsidRPr="00D67741" w:rsidRDefault="00D67741" w:rsidP="005C3B98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D67741">
        <w:rPr>
          <w:rFonts w:ascii="Century Gothic" w:hAnsi="Century Gothic"/>
          <w:sz w:val="20"/>
          <w:szCs w:val="20"/>
        </w:rPr>
        <w:t xml:space="preserve">La porte pour chambre annexe d'Hydro-Québec sera telle que le modèle CAH fabriquées par </w:t>
      </w:r>
      <w:r w:rsidR="007A213C" w:rsidRPr="00050AB3">
        <w:rPr>
          <w:rFonts w:ascii="Century Gothic" w:hAnsi="Century Gothic"/>
          <w:bCs/>
          <w:sz w:val="20"/>
          <w:szCs w:val="20"/>
        </w:rPr>
        <w:t>"Cométal"</w:t>
      </w:r>
      <w:r w:rsidRPr="00D67741">
        <w:rPr>
          <w:rFonts w:ascii="Century Gothic" w:hAnsi="Century Gothic"/>
          <w:sz w:val="20"/>
          <w:szCs w:val="20"/>
        </w:rPr>
        <w:t xml:space="preserve"> et devra répondre à la norme E.21-11 d'Hydro-Québec.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La chambre doit être munie d'une porte constituée de deux persiennes à battants</w:t>
      </w:r>
      <w:r w:rsidR="007A213C">
        <w:rPr>
          <w:rFonts w:ascii="Century Gothic" w:hAnsi="Century Gothic"/>
          <w:sz w:val="20"/>
          <w:szCs w:val="20"/>
        </w:rPr>
        <w:t xml:space="preserve"> avec penture en acier inoxydable</w:t>
      </w:r>
      <w:r w:rsidRPr="00D67741">
        <w:rPr>
          <w:rFonts w:ascii="Century Gothic" w:hAnsi="Century Gothic"/>
          <w:sz w:val="20"/>
          <w:szCs w:val="20"/>
        </w:rPr>
        <w:t>.  Les dimensions minimales de la porte doivent être de 2,45 m de largeur et de 2,3 m de hauteur.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La porte doit comprendre un seuil amovible de 2,45 m de l</w:t>
      </w:r>
      <w:r w:rsidR="005C3B98">
        <w:rPr>
          <w:rFonts w:ascii="Century Gothic" w:hAnsi="Century Gothic"/>
          <w:sz w:val="20"/>
          <w:szCs w:val="20"/>
        </w:rPr>
        <w:t xml:space="preserve">argeur </w:t>
      </w:r>
      <w:r w:rsidRPr="00D67741">
        <w:rPr>
          <w:rFonts w:ascii="Century Gothic" w:hAnsi="Century Gothic"/>
          <w:sz w:val="20"/>
          <w:szCs w:val="20"/>
        </w:rPr>
        <w:t>et de 150 mm de hauteur.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Un des battants doit être mobile en tout temps</w:t>
      </w:r>
      <w:r w:rsidR="007A213C">
        <w:rPr>
          <w:rFonts w:ascii="Century Gothic" w:hAnsi="Century Gothic"/>
          <w:sz w:val="20"/>
          <w:szCs w:val="20"/>
        </w:rPr>
        <w:t xml:space="preserve">. </w:t>
      </w:r>
      <w:r w:rsidRPr="00D67741">
        <w:rPr>
          <w:rFonts w:ascii="Century Gothic" w:hAnsi="Century Gothic"/>
          <w:sz w:val="20"/>
          <w:szCs w:val="20"/>
        </w:rPr>
        <w:t xml:space="preserve"> </w:t>
      </w:r>
      <w:r w:rsidR="007A213C" w:rsidRPr="00D67741">
        <w:rPr>
          <w:rFonts w:ascii="Century Gothic" w:hAnsi="Century Gothic"/>
          <w:sz w:val="20"/>
          <w:szCs w:val="20"/>
        </w:rPr>
        <w:t>Il</w:t>
      </w:r>
      <w:r w:rsidRPr="00D67741">
        <w:rPr>
          <w:rFonts w:ascii="Century Gothic" w:hAnsi="Century Gothic"/>
          <w:sz w:val="20"/>
          <w:szCs w:val="20"/>
        </w:rPr>
        <w:t xml:space="preserve"> doit être muni d'une poignée</w:t>
      </w:r>
      <w:r w:rsidR="007A213C">
        <w:rPr>
          <w:rFonts w:ascii="Century Gothic" w:hAnsi="Century Gothic"/>
          <w:sz w:val="20"/>
          <w:szCs w:val="20"/>
        </w:rPr>
        <w:t xml:space="preserve"> cadenassable en acier inoxydable et d’une crémone en zinc.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>L'autre battant doit être fixe et demeurer en position fermée. Il doit comporter, sur le côté intérieur, deux verrous à ressort avec dispositif de blocage dans le cadre supérieur et dans le seuil.</w:t>
      </w:r>
      <w:r w:rsidR="005C3B98">
        <w:rPr>
          <w:rFonts w:ascii="Century Gothic" w:hAnsi="Century Gothic"/>
          <w:sz w:val="20"/>
          <w:szCs w:val="20"/>
        </w:rPr>
        <w:t xml:space="preserve">  </w:t>
      </w:r>
      <w:r w:rsidRPr="00D67741">
        <w:rPr>
          <w:rFonts w:ascii="Century Gothic" w:hAnsi="Century Gothic"/>
          <w:sz w:val="20"/>
          <w:szCs w:val="20"/>
        </w:rPr>
        <w:t xml:space="preserve">Un </w:t>
      </w:r>
      <w:r w:rsidR="007A213C" w:rsidRPr="00D67741">
        <w:rPr>
          <w:rFonts w:ascii="Century Gothic" w:hAnsi="Century Gothic"/>
          <w:sz w:val="20"/>
          <w:szCs w:val="20"/>
        </w:rPr>
        <w:t>œill</w:t>
      </w:r>
      <w:r w:rsidR="007A213C">
        <w:rPr>
          <w:rFonts w:ascii="Century Gothic" w:hAnsi="Century Gothic"/>
          <w:sz w:val="20"/>
          <w:szCs w:val="20"/>
        </w:rPr>
        <w:t>et</w:t>
      </w:r>
      <w:r w:rsidRPr="00D67741">
        <w:rPr>
          <w:rFonts w:ascii="Century Gothic" w:hAnsi="Century Gothic"/>
          <w:sz w:val="20"/>
          <w:szCs w:val="20"/>
        </w:rPr>
        <w:t xml:space="preserve"> doit être installé sur chaque battant et deux </w:t>
      </w:r>
      <w:r w:rsidRPr="00D67741">
        <w:rPr>
          <w:rFonts w:ascii="Century Gothic" w:hAnsi="Century Gothic"/>
          <w:sz w:val="20"/>
          <w:szCs w:val="20"/>
        </w:rPr>
        <w:lastRenderedPageBreak/>
        <w:t>crochets doivent être fixés sur le mur extérieur pour maintenir les deux battants en position ouverte à 180</w:t>
      </w:r>
      <w:r w:rsidRPr="00D67741">
        <w:rPr>
          <w:rFonts w:ascii="Century Gothic" w:hAnsi="Century Gothic"/>
          <w:sz w:val="20"/>
          <w:szCs w:val="20"/>
        </w:rPr>
        <w:sym w:font="Symbol" w:char="F0B0"/>
      </w:r>
      <w:r w:rsidRPr="00D67741">
        <w:rPr>
          <w:rFonts w:ascii="Century Gothic" w:hAnsi="Century Gothic"/>
          <w:sz w:val="20"/>
          <w:szCs w:val="20"/>
        </w:rPr>
        <w:t>.</w:t>
      </w:r>
    </w:p>
    <w:p w14:paraId="6A3F5F6E" w14:textId="19EC3DE4" w:rsidR="00D67741" w:rsidRDefault="00D67741" w:rsidP="008B3009"/>
    <w:p w14:paraId="170F1026" w14:textId="37EB3DC0" w:rsidR="00D67741" w:rsidRDefault="00D67741" w:rsidP="008B3009"/>
    <w:p w14:paraId="56ACAE37" w14:textId="5908F2BC" w:rsidR="00D67741" w:rsidRDefault="00D67741" w:rsidP="008B3009"/>
    <w:p w14:paraId="20BE1E31" w14:textId="0121F79E" w:rsidR="005C3B98" w:rsidRPr="00E56B99" w:rsidRDefault="005C3B98" w:rsidP="005C3B98">
      <w:pPr>
        <w:numPr>
          <w:ilvl w:val="0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Persienne ajustable</w:t>
      </w:r>
    </w:p>
    <w:p w14:paraId="64AF3752" w14:textId="40C8D85B" w:rsidR="009E21AB" w:rsidRPr="009E21AB" w:rsidRDefault="009E21AB" w:rsidP="005C3B9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 w:rsidRPr="009E21AB">
        <w:rPr>
          <w:rFonts w:ascii="Century Gothic" w:hAnsi="Century Gothic"/>
          <w:sz w:val="20"/>
          <w:szCs w:val="20"/>
          <w:u w:val="single"/>
        </w:rPr>
        <w:t>Assemblage</w:t>
      </w:r>
    </w:p>
    <w:p w14:paraId="4731162E" w14:textId="772DD3F1" w:rsidR="00A26A6F" w:rsidRPr="005C3B98" w:rsidRDefault="00A26A6F" w:rsidP="009E21AB">
      <w:pPr>
        <w:ind w:left="792"/>
        <w:jc w:val="both"/>
        <w:rPr>
          <w:rFonts w:ascii="Century Gothic" w:hAnsi="Century Gothic"/>
          <w:bCs/>
          <w:sz w:val="20"/>
          <w:szCs w:val="20"/>
        </w:rPr>
      </w:pPr>
      <w:r w:rsidRPr="005C3B98">
        <w:rPr>
          <w:rFonts w:ascii="Century Gothic" w:hAnsi="Century Gothic"/>
          <w:bCs/>
          <w:sz w:val="20"/>
          <w:szCs w:val="20"/>
        </w:rPr>
        <w:t xml:space="preserve">Pour assurer une bonne performance, les persiennes seront divisées en modules ne dépassant pas </w:t>
      </w:r>
      <w:r w:rsidR="005C3B98">
        <w:rPr>
          <w:rFonts w:ascii="Century Gothic" w:hAnsi="Century Gothic"/>
          <w:bCs/>
          <w:sz w:val="20"/>
          <w:szCs w:val="20"/>
        </w:rPr>
        <w:t>914</w:t>
      </w:r>
      <w:r w:rsidR="009E21AB">
        <w:rPr>
          <w:rFonts w:ascii="Century Gothic" w:hAnsi="Century Gothic"/>
          <w:bCs/>
          <w:sz w:val="20"/>
          <w:szCs w:val="20"/>
        </w:rPr>
        <w:t> </w:t>
      </w:r>
      <w:r w:rsidR="005C3B98">
        <w:rPr>
          <w:rFonts w:ascii="Century Gothic" w:hAnsi="Century Gothic"/>
          <w:bCs/>
          <w:sz w:val="20"/>
          <w:szCs w:val="20"/>
        </w:rPr>
        <w:t>mm (</w:t>
      </w:r>
      <w:r w:rsidRPr="005C3B98">
        <w:rPr>
          <w:rFonts w:ascii="Century Gothic" w:hAnsi="Century Gothic"/>
          <w:bCs/>
          <w:sz w:val="20"/>
          <w:szCs w:val="20"/>
        </w:rPr>
        <w:t>36</w:t>
      </w:r>
      <w:r w:rsidR="005C3B98" w:rsidRPr="00E56B99">
        <w:rPr>
          <w:rFonts w:ascii="Century Gothic" w:hAnsi="Century Gothic"/>
          <w:sz w:val="20"/>
          <w:szCs w:val="20"/>
        </w:rPr>
        <w:t>”</w:t>
      </w:r>
      <w:r w:rsidR="005C3B98">
        <w:rPr>
          <w:rFonts w:ascii="Century Gothic" w:hAnsi="Century Gothic"/>
          <w:sz w:val="20"/>
          <w:szCs w:val="20"/>
        </w:rPr>
        <w:t>)</w:t>
      </w:r>
      <w:r w:rsidRPr="005C3B98">
        <w:rPr>
          <w:rFonts w:ascii="Century Gothic" w:hAnsi="Century Gothic"/>
          <w:bCs/>
          <w:sz w:val="20"/>
          <w:szCs w:val="20"/>
        </w:rPr>
        <w:t xml:space="preserve"> de largeur par </w:t>
      </w:r>
      <w:r w:rsidR="005C3B98">
        <w:rPr>
          <w:rFonts w:ascii="Century Gothic" w:hAnsi="Century Gothic"/>
          <w:bCs/>
          <w:sz w:val="20"/>
          <w:szCs w:val="20"/>
        </w:rPr>
        <w:t>1524 mm (</w:t>
      </w:r>
      <w:r w:rsidRPr="005C3B98">
        <w:rPr>
          <w:rFonts w:ascii="Century Gothic" w:hAnsi="Century Gothic"/>
          <w:bCs/>
          <w:sz w:val="20"/>
          <w:szCs w:val="20"/>
        </w:rPr>
        <w:t>60</w:t>
      </w:r>
      <w:r w:rsidR="005C3B98" w:rsidRPr="00E56B99">
        <w:rPr>
          <w:rFonts w:ascii="Century Gothic" w:hAnsi="Century Gothic"/>
          <w:sz w:val="20"/>
          <w:szCs w:val="20"/>
        </w:rPr>
        <w:t>”</w:t>
      </w:r>
      <w:r w:rsidR="005C3B98">
        <w:rPr>
          <w:rFonts w:ascii="Century Gothic" w:hAnsi="Century Gothic"/>
          <w:sz w:val="20"/>
          <w:szCs w:val="20"/>
        </w:rPr>
        <w:t>)</w:t>
      </w:r>
      <w:r w:rsidRPr="005C3B98">
        <w:rPr>
          <w:rFonts w:ascii="Century Gothic" w:hAnsi="Century Gothic"/>
          <w:bCs/>
          <w:sz w:val="20"/>
          <w:szCs w:val="20"/>
        </w:rPr>
        <w:t xml:space="preserve"> de hauteur</w:t>
      </w:r>
      <w:r w:rsidR="005C3B98">
        <w:rPr>
          <w:rFonts w:ascii="Century Gothic" w:hAnsi="Century Gothic"/>
          <w:bCs/>
          <w:sz w:val="20"/>
          <w:szCs w:val="20"/>
        </w:rPr>
        <w:t xml:space="preserve">.  </w:t>
      </w:r>
      <w:r w:rsidRPr="005C3B98">
        <w:rPr>
          <w:rFonts w:ascii="Century Gothic" w:hAnsi="Century Gothic"/>
          <w:bCs/>
          <w:sz w:val="20"/>
          <w:szCs w:val="20"/>
        </w:rPr>
        <w:t>L’assemblage de toutes les composantes d’aluminium sera fait mécaniquement à l’aide de vis.  Les soudures devront être évitées afin de conserver les propriétés mécaniques ainsi que la qualité anodique de l’aluminium.</w:t>
      </w:r>
    </w:p>
    <w:p w14:paraId="412CB150" w14:textId="77777777" w:rsidR="00A26A6F" w:rsidRDefault="00A26A6F" w:rsidP="00A26A6F">
      <w:pPr>
        <w:tabs>
          <w:tab w:val="left" w:pos="284"/>
        </w:tabs>
        <w:jc w:val="both"/>
        <w:rPr>
          <w:rFonts w:ascii="Calibri" w:hAnsi="Calibri"/>
        </w:rPr>
      </w:pPr>
    </w:p>
    <w:p w14:paraId="6A9B124B" w14:textId="3A4ED107" w:rsidR="00A26A6F" w:rsidRPr="005C3B98" w:rsidRDefault="00A26A6F" w:rsidP="009E21AB">
      <w:pPr>
        <w:ind w:left="2124" w:hanging="1332"/>
        <w:rPr>
          <w:rFonts w:ascii="Century Gothic" w:hAnsi="Century Gothic"/>
          <w:bCs/>
          <w:sz w:val="20"/>
          <w:szCs w:val="20"/>
        </w:rPr>
      </w:pPr>
      <w:r w:rsidRPr="005C3B98">
        <w:rPr>
          <w:rFonts w:ascii="Century Gothic" w:hAnsi="Century Gothic"/>
          <w:bCs/>
          <w:sz w:val="20"/>
          <w:szCs w:val="20"/>
        </w:rPr>
        <w:t>Pivots :</w:t>
      </w:r>
      <w:r w:rsidRPr="005C3B98">
        <w:rPr>
          <w:rFonts w:ascii="Century Gothic" w:hAnsi="Century Gothic"/>
          <w:bCs/>
          <w:sz w:val="20"/>
          <w:szCs w:val="20"/>
        </w:rPr>
        <w:tab/>
        <w:t xml:space="preserve">Les lames seront reliées aux cadres à l’aide de pivots KP-10R en acier </w:t>
      </w:r>
      <w:r w:rsidR="005C3B98">
        <w:rPr>
          <w:rFonts w:ascii="Century Gothic" w:hAnsi="Century Gothic"/>
          <w:bCs/>
          <w:sz w:val="20"/>
          <w:szCs w:val="20"/>
        </w:rPr>
        <w:t>galvanisé monté sur coussinet en nylon.</w:t>
      </w:r>
    </w:p>
    <w:p w14:paraId="24DB13F1" w14:textId="5B4BABAE" w:rsidR="00A26A6F" w:rsidRPr="005C3B98" w:rsidRDefault="005C3B98" w:rsidP="009E21AB">
      <w:pPr>
        <w:ind w:left="2124" w:hanging="1332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Supports</w:t>
      </w:r>
      <w:r w:rsidR="00A26A6F" w:rsidRPr="005C3B98">
        <w:rPr>
          <w:rFonts w:ascii="Century Gothic" w:hAnsi="Century Gothic"/>
          <w:bCs/>
          <w:sz w:val="20"/>
          <w:szCs w:val="20"/>
        </w:rPr>
        <w:t> :</w:t>
      </w:r>
      <w:r w:rsidR="00A26A6F" w:rsidRPr="005C3B98">
        <w:rPr>
          <w:rFonts w:ascii="Century Gothic" w:hAnsi="Century Gothic"/>
          <w:bCs/>
          <w:sz w:val="20"/>
          <w:szCs w:val="20"/>
        </w:rPr>
        <w:tab/>
        <w:t>Les</w:t>
      </w:r>
      <w:r>
        <w:rPr>
          <w:rFonts w:ascii="Century Gothic" w:hAnsi="Century Gothic"/>
          <w:bCs/>
          <w:sz w:val="20"/>
          <w:szCs w:val="20"/>
        </w:rPr>
        <w:t xml:space="preserve"> supports BKP-25</w:t>
      </w:r>
      <w:r w:rsidR="00A26A6F" w:rsidRPr="005C3B98">
        <w:rPr>
          <w:rFonts w:ascii="Century Gothic" w:hAnsi="Century Gothic"/>
          <w:bCs/>
          <w:sz w:val="20"/>
          <w:szCs w:val="20"/>
        </w:rPr>
        <w:t xml:space="preserve"> seront placés au centre des lames et reliés à l’aide d’une tige en aluminium de 6.35 mm de diamètre.</w:t>
      </w:r>
    </w:p>
    <w:p w14:paraId="0398C777" w14:textId="492F987E" w:rsidR="00A26A6F" w:rsidRPr="005C3B98" w:rsidRDefault="00A26A6F" w:rsidP="009E21AB">
      <w:pPr>
        <w:ind w:left="2124" w:hanging="1332"/>
        <w:rPr>
          <w:rFonts w:ascii="Century Gothic" w:hAnsi="Century Gothic"/>
          <w:bCs/>
          <w:sz w:val="20"/>
          <w:szCs w:val="20"/>
        </w:rPr>
      </w:pPr>
      <w:r w:rsidRPr="005C3B98">
        <w:rPr>
          <w:rFonts w:ascii="Century Gothic" w:hAnsi="Century Gothic"/>
          <w:bCs/>
          <w:sz w:val="20"/>
          <w:szCs w:val="20"/>
        </w:rPr>
        <w:t>Garnitures :</w:t>
      </w:r>
      <w:r w:rsidRPr="005C3B98">
        <w:rPr>
          <w:rFonts w:ascii="Century Gothic" w:hAnsi="Century Gothic"/>
          <w:bCs/>
          <w:sz w:val="20"/>
          <w:szCs w:val="20"/>
        </w:rPr>
        <w:tab/>
        <w:t>Des coupe froid en acier inoxydable seront positionnés entre les lames et les cadres de côté.</w:t>
      </w:r>
    </w:p>
    <w:p w14:paraId="1728DB94" w14:textId="77777777" w:rsidR="00A26A6F" w:rsidRDefault="00A26A6F" w:rsidP="00A26A6F">
      <w:pPr>
        <w:jc w:val="center"/>
        <w:rPr>
          <w:rFonts w:ascii="Calibri" w:hAnsi="Calibri"/>
        </w:rPr>
      </w:pPr>
    </w:p>
    <w:p w14:paraId="157C6AD9" w14:textId="77777777" w:rsidR="00A26A6F" w:rsidRDefault="00A26A6F" w:rsidP="00A26A6F">
      <w:pPr>
        <w:jc w:val="center"/>
      </w:pPr>
    </w:p>
    <w:p w14:paraId="611BD581" w14:textId="2EE0CA3E" w:rsidR="00A26A6F" w:rsidRPr="009E21AB" w:rsidRDefault="00A26A6F" w:rsidP="009E21AB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  <w:u w:val="single"/>
        </w:rPr>
      </w:pPr>
      <w:r w:rsidRPr="009E21AB">
        <w:rPr>
          <w:rFonts w:ascii="Century Gothic" w:hAnsi="Century Gothic"/>
          <w:sz w:val="20"/>
          <w:szCs w:val="20"/>
          <w:u w:val="single"/>
        </w:rPr>
        <w:t>Système d’activation :</w:t>
      </w:r>
    </w:p>
    <w:p w14:paraId="4E695045" w14:textId="17503A71" w:rsidR="009E21AB" w:rsidRDefault="00A26A6F" w:rsidP="009E21AB">
      <w:pPr>
        <w:ind w:left="84" w:firstLine="708"/>
        <w:jc w:val="both"/>
        <w:rPr>
          <w:rFonts w:ascii="Century Gothic" w:hAnsi="Century Gothic"/>
          <w:bCs/>
          <w:sz w:val="20"/>
          <w:szCs w:val="20"/>
        </w:rPr>
      </w:pPr>
      <w:r w:rsidRPr="009E21AB">
        <w:rPr>
          <w:rFonts w:ascii="Century Gothic" w:hAnsi="Century Gothic"/>
          <w:bCs/>
          <w:sz w:val="20"/>
          <w:szCs w:val="20"/>
        </w:rPr>
        <w:t>Les modules de persiennes seront activés par :</w:t>
      </w:r>
    </w:p>
    <w:p w14:paraId="73574364" w14:textId="1FD42938" w:rsidR="009E21AB" w:rsidRPr="009E21AB" w:rsidRDefault="009E21AB" w:rsidP="009E21AB">
      <w:p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 w:rsidR="00A26A6F" w:rsidRPr="009E21AB">
        <w:rPr>
          <w:rFonts w:ascii="Century Gothic" w:hAnsi="Century Gothic"/>
          <w:sz w:val="20"/>
          <w:szCs w:val="20"/>
          <w:u w:val="single"/>
        </w:rPr>
        <w:t>Opération motorisée</w:t>
      </w:r>
    </w:p>
    <w:p w14:paraId="5249C6AA" w14:textId="4AD2030A" w:rsidR="009E21AB" w:rsidRPr="009E21AB" w:rsidRDefault="009E21AB" w:rsidP="009E21AB">
      <w:pPr>
        <w:tabs>
          <w:tab w:val="left" w:pos="5103"/>
        </w:tabs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4F5E9537" w14:textId="293E0B5B" w:rsidR="00A26A6F" w:rsidRPr="009E21AB" w:rsidRDefault="00A26A6F" w:rsidP="009E21AB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9E21AB">
        <w:rPr>
          <w:rFonts w:ascii="Century Gothic" w:hAnsi="Century Gothic"/>
          <w:sz w:val="20"/>
          <w:szCs w:val="20"/>
          <w:u w:val="single"/>
        </w:rPr>
        <w:t>Opération manuelle</w:t>
      </w:r>
      <w:r w:rsidRPr="009E21AB">
        <w:rPr>
          <w:rFonts w:ascii="Century Gothic" w:hAnsi="Century Gothic"/>
          <w:sz w:val="20"/>
          <w:szCs w:val="20"/>
        </w:rPr>
        <w:t xml:space="preserve"> à l’aide d’une clef d’ajustement K-8 placée dans le cadre du module de persienne</w:t>
      </w:r>
    </w:p>
    <w:p w14:paraId="36AD183E" w14:textId="4731568C" w:rsidR="009E21AB" w:rsidRPr="009E21AB" w:rsidRDefault="009E21AB" w:rsidP="009E21AB">
      <w:pPr>
        <w:tabs>
          <w:tab w:val="left" w:pos="5103"/>
        </w:tabs>
        <w:spacing w:before="60" w:after="60"/>
        <w:ind w:left="4248" w:firstLine="708"/>
        <w:rPr>
          <w:rFonts w:ascii="Century Gothic" w:hAnsi="Century Gothic"/>
          <w:b/>
          <w:bCs/>
          <w:sz w:val="20"/>
          <w:szCs w:val="20"/>
        </w:rPr>
      </w:pPr>
      <w:r w:rsidRPr="00E56B99">
        <w:rPr>
          <w:rFonts w:ascii="Century Gothic" w:hAnsi="Century Gothic"/>
          <w:b/>
          <w:bCs/>
          <w:sz w:val="20"/>
          <w:szCs w:val="20"/>
        </w:rPr>
        <w:t>OU</w:t>
      </w:r>
    </w:p>
    <w:p w14:paraId="62A64BEB" w14:textId="4C467CDF" w:rsidR="00A26A6F" w:rsidRPr="009E21AB" w:rsidRDefault="00A26A6F" w:rsidP="009E21AB">
      <w:pPr>
        <w:ind w:left="1416"/>
        <w:jc w:val="both"/>
        <w:rPr>
          <w:rFonts w:ascii="Century Gothic" w:hAnsi="Century Gothic"/>
          <w:sz w:val="20"/>
          <w:szCs w:val="20"/>
        </w:rPr>
      </w:pPr>
      <w:r w:rsidRPr="009E21AB">
        <w:rPr>
          <w:rFonts w:ascii="Century Gothic" w:hAnsi="Century Gothic"/>
          <w:sz w:val="20"/>
          <w:szCs w:val="20"/>
          <w:u w:val="single"/>
        </w:rPr>
        <w:t>Opération manuelle</w:t>
      </w:r>
      <w:r w:rsidRPr="009E21AB">
        <w:rPr>
          <w:rFonts w:ascii="Century Gothic" w:hAnsi="Century Gothic"/>
          <w:sz w:val="20"/>
          <w:szCs w:val="20"/>
        </w:rPr>
        <w:t xml:space="preserve"> à l’aide d’une chaîne placée au centre du module de persienne</w:t>
      </w:r>
    </w:p>
    <w:p w14:paraId="20BB5A41" w14:textId="77777777" w:rsidR="00A26A6F" w:rsidRPr="009E21AB" w:rsidRDefault="00A26A6F" w:rsidP="00A26A6F">
      <w:pPr>
        <w:jc w:val="both"/>
        <w:rPr>
          <w:rFonts w:ascii="Calibri" w:hAnsi="Calibri"/>
        </w:rPr>
      </w:pPr>
    </w:p>
    <w:p w14:paraId="62048AC1" w14:textId="77777777" w:rsidR="00A26A6F" w:rsidRPr="008B3009" w:rsidRDefault="00A26A6F" w:rsidP="008B3009"/>
    <w:sectPr w:rsidR="00A26A6F" w:rsidRPr="008B3009" w:rsidSect="00F96420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othicE">
    <w:panose1 w:val="00000400000000000000"/>
    <w:charset w:val="00"/>
    <w:family w:val="auto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evenim MT">
    <w:panose1 w:val="02010502060101010101"/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  <w:footnote w:id="1">
    <w:p w14:paraId="69E28B34" w14:textId="77777777" w:rsidR="008B3009" w:rsidRDefault="008B3009" w:rsidP="008B3009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A1102A">
        <w:rPr>
          <w:rFonts w:ascii="Century Gothic" w:hAnsi="Century Gothic"/>
          <w:sz w:val="16"/>
          <w:szCs w:val="16"/>
        </w:rPr>
        <w:t>***attention, ce procédé peut entraîner certaines restrictions sur la dimension des pièces et peut occasionner une variation de couleur***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A38A59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1781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53F9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6A0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5E48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4E1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6724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B80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578A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3B9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0E23"/>
    <w:rsid w:val="005E1776"/>
    <w:rsid w:val="005E1AA4"/>
    <w:rsid w:val="005E1D09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478E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13C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009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0A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1AB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34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A6F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4B6C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0649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4C9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9A8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13E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30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67741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483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0739C"/>
    <w:rsid w:val="00E1096A"/>
    <w:rsid w:val="00E12040"/>
    <w:rsid w:val="00E122E7"/>
    <w:rsid w:val="00E1244F"/>
    <w:rsid w:val="00E128B5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13F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2726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297E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59D1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420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1265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Notedebasdepage">
    <w:name w:val="footnote text"/>
    <w:basedOn w:val="Normal"/>
    <w:link w:val="NotedebasdepageCar"/>
    <w:rsid w:val="008B3009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8B3009"/>
    <w:rPr>
      <w:rFonts w:ascii="Arial" w:hAnsi="Arial" w:cs="Arial"/>
      <w:lang w:val="fr-CA" w:eastAsia="fr-CA"/>
    </w:rPr>
  </w:style>
  <w:style w:type="character" w:styleId="Appelnotedebasdep">
    <w:name w:val="footnote reference"/>
    <w:basedOn w:val="Policepardfaut"/>
    <w:rsid w:val="008B3009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C829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1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8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64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3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1C79C7-5F30-4B2E-8984-D8425614D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</TotalTime>
  <Pages>3</Pages>
  <Words>987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 champoux</cp:lastModifiedBy>
  <cp:revision>8</cp:revision>
  <cp:lastPrinted>2019-11-18T21:18:00Z</cp:lastPrinted>
  <dcterms:created xsi:type="dcterms:W3CDTF">2020-03-03T16:49:00Z</dcterms:created>
  <dcterms:modified xsi:type="dcterms:W3CDTF">2020-12-03T13:32:00Z</dcterms:modified>
</cp:coreProperties>
</file>